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AF965" w14:textId="50009A3A" w:rsidR="001E146C" w:rsidRPr="001E146C" w:rsidRDefault="001E146C" w:rsidP="001E146C">
      <w:pPr>
        <w:pStyle w:val="Brdtext"/>
        <w:rPr>
          <w:rFonts w:ascii="Times New Roman" w:hAnsi="Times New Roman"/>
          <w:b/>
          <w:bCs/>
          <w:i/>
          <w:iCs/>
        </w:rPr>
      </w:pPr>
      <w:r w:rsidRPr="001E146C">
        <w:rPr>
          <w:rFonts w:ascii="Times New Roman" w:hAnsi="Times New Roman"/>
          <w:b/>
          <w:bCs/>
          <w:i/>
          <w:iCs/>
        </w:rPr>
        <w:t>Description of data and methods related to data handling</w:t>
      </w:r>
    </w:p>
    <w:p w14:paraId="479117AC" w14:textId="77777777" w:rsidR="001E146C" w:rsidRDefault="001E146C" w:rsidP="001E146C">
      <w:pPr>
        <w:pStyle w:val="Brdtext"/>
        <w:rPr>
          <w:rFonts w:ascii="Times New Roman" w:hAnsi="Times New Roman"/>
        </w:rPr>
      </w:pPr>
    </w:p>
    <w:p w14:paraId="0F30E292" w14:textId="0D7E7667" w:rsidR="001E146C" w:rsidRPr="005000F0" w:rsidRDefault="001E146C" w:rsidP="001E146C">
      <w:pPr>
        <w:pStyle w:val="Brdtext"/>
        <w:rPr>
          <w:rFonts w:ascii="Times New Roman" w:eastAsia="Times New Roman" w:hAnsi="Times New Roman" w:cs="Times New Roman"/>
        </w:rPr>
      </w:pPr>
      <w:r w:rsidRPr="005000F0">
        <w:rPr>
          <w:rFonts w:ascii="Times New Roman" w:hAnsi="Times New Roman"/>
        </w:rPr>
        <w:t>We used data from the Swedish National Forest Inventory (NFI), which uses a regular sampling grid, with a randomly selected starting point, across the entire 400,000 km</w:t>
      </w:r>
      <w:r w:rsidRPr="005000F0">
        <w:rPr>
          <w:rFonts w:ascii="Times New Roman" w:hAnsi="Times New Roman"/>
          <w:vertAlign w:val="superscript"/>
        </w:rPr>
        <w:t>2</w:t>
      </w:r>
      <w:r w:rsidRPr="005000F0">
        <w:rPr>
          <w:rFonts w:ascii="Times New Roman" w:hAnsi="Times New Roman"/>
        </w:rPr>
        <w:t xml:space="preserve"> of Swedish land (</w:t>
      </w:r>
      <w:proofErr w:type="spellStart"/>
      <w:r w:rsidRPr="005000F0">
        <w:rPr>
          <w:rFonts w:ascii="Times New Roman" w:hAnsi="Times New Roman"/>
        </w:rPr>
        <w:t>Axelsson</w:t>
      </w:r>
      <w:proofErr w:type="spellEnd"/>
      <w:r w:rsidRPr="005000F0">
        <w:rPr>
          <w:rFonts w:ascii="Times New Roman" w:hAnsi="Times New Roman"/>
        </w:rPr>
        <w:t xml:space="preserve"> et al., 2010) of which 230,000 km</w:t>
      </w:r>
      <w:r w:rsidRPr="005000F0">
        <w:rPr>
          <w:rFonts w:ascii="Times New Roman" w:hAnsi="Times New Roman"/>
          <w:vertAlign w:val="superscript"/>
        </w:rPr>
        <w:t>2</w:t>
      </w:r>
      <w:r w:rsidRPr="005000F0">
        <w:rPr>
          <w:rFonts w:ascii="Times New Roman" w:hAnsi="Times New Roman"/>
        </w:rPr>
        <w:t xml:space="preserve"> is covered by productive boreal or temperate forests. It includes approximately 4,500 permanent tracts with each tract being surveyed once every five years. The quadratic tracts have different sizes in different parts of the country and consist of eight (in the north) to four (in the south) circular sample plots (radius 10 m). From the NFI database, we extracted data from three complete survey cycles, conducted 2003-2007, 2008-2012, and 2013-2017. We used only plots on ‘productive forest’ (mean production of standing volume, stem volume over bark &gt;1 m</w:t>
      </w:r>
      <w:r w:rsidRPr="005000F0">
        <w:rPr>
          <w:rFonts w:ascii="Times New Roman" w:hAnsi="Times New Roman"/>
          <w:vertAlign w:val="superscript"/>
        </w:rPr>
        <w:t>3</w:t>
      </w:r>
      <w:r w:rsidRPr="005000F0">
        <w:rPr>
          <w:rFonts w:ascii="Times New Roman" w:hAnsi="Times New Roman"/>
        </w:rPr>
        <w:t xml:space="preserve"> ha</w:t>
      </w:r>
      <w:r w:rsidRPr="005000F0">
        <w:rPr>
          <w:rFonts w:ascii="Times New Roman" w:hAnsi="Times New Roman"/>
          <w:vertAlign w:val="superscript"/>
        </w:rPr>
        <w:t>-1</w:t>
      </w:r>
      <w:r w:rsidRPr="005000F0">
        <w:rPr>
          <w:rFonts w:ascii="Times New Roman" w:hAnsi="Times New Roman"/>
        </w:rPr>
        <w:t xml:space="preserve"> year</w:t>
      </w:r>
      <w:r w:rsidRPr="005000F0">
        <w:rPr>
          <w:rFonts w:ascii="Times New Roman" w:hAnsi="Times New Roman"/>
          <w:vertAlign w:val="superscript"/>
        </w:rPr>
        <w:t>-1</w:t>
      </w:r>
      <w:r w:rsidRPr="005000F0">
        <w:rPr>
          <w:rFonts w:ascii="Times New Roman" w:hAnsi="Times New Roman"/>
        </w:rPr>
        <w:t>), excluding plots (</w:t>
      </w:r>
      <w:r w:rsidRPr="005000F0">
        <w:rPr>
          <w:rFonts w:ascii="Times New Roman" w:hAnsi="Times New Roman"/>
          <w:i/>
          <w:iCs/>
        </w:rPr>
        <w:t>n</w:t>
      </w:r>
      <w:r w:rsidRPr="005000F0">
        <w:rPr>
          <w:rFonts w:ascii="Times New Roman" w:hAnsi="Times New Roman"/>
        </w:rPr>
        <w:t xml:space="preserve"> = 853) that had been harvested, cleared, or thinned in the five-year period before each survey, as this reduces the frequency of live trees and, thus, potentially the number of trees that are surveyed for damages (see below). Further, to be included in our analyses, the plots had to be located on only forest land, e.g., not partly including river, road, grassland, or other land types. We also excluded plots where trees were older than 300 years, as these plots were too rare (</w:t>
      </w:r>
      <w:r w:rsidRPr="005000F0">
        <w:rPr>
          <w:rFonts w:ascii="Times New Roman" w:hAnsi="Times New Roman"/>
          <w:i/>
          <w:iCs/>
        </w:rPr>
        <w:t>n</w:t>
      </w:r>
      <w:r w:rsidRPr="005000F0">
        <w:rPr>
          <w:rFonts w:ascii="Times New Roman" w:hAnsi="Times New Roman"/>
        </w:rPr>
        <w:t xml:space="preserve"> = 9) for reliable estimation of relationships to the covariate forest age (see below).</w:t>
      </w:r>
    </w:p>
    <w:p w14:paraId="4F380164" w14:textId="77777777" w:rsidR="001E146C" w:rsidRDefault="001E146C" w:rsidP="001E146C">
      <w:pPr>
        <w:pStyle w:val="Brdtext"/>
        <w:rPr>
          <w:rFonts w:ascii="Times New Roman" w:hAnsi="Times New Roman"/>
        </w:rPr>
      </w:pPr>
    </w:p>
    <w:p w14:paraId="6170A3A6" w14:textId="38E89F67" w:rsidR="001E146C" w:rsidRPr="005000F0" w:rsidRDefault="001E146C" w:rsidP="001E146C">
      <w:pPr>
        <w:pStyle w:val="Brdtext"/>
        <w:rPr>
          <w:rFonts w:ascii="Times New Roman" w:eastAsia="Times New Roman" w:hAnsi="Times New Roman" w:cs="Times New Roman"/>
        </w:rPr>
      </w:pPr>
      <w:r w:rsidRPr="005000F0">
        <w:rPr>
          <w:rFonts w:ascii="Times New Roman" w:hAnsi="Times New Roman"/>
        </w:rPr>
        <w:t xml:space="preserve">In the NFI, ‘damages’ are recorded only for </w:t>
      </w:r>
      <w:r w:rsidRPr="005000F0">
        <w:rPr>
          <w:rFonts w:ascii="Times New Roman" w:hAnsi="Times New Roman"/>
          <w:i/>
          <w:iCs/>
        </w:rPr>
        <w:t>living</w:t>
      </w:r>
      <w:r w:rsidRPr="005000F0">
        <w:rPr>
          <w:rFonts w:ascii="Times New Roman" w:hAnsi="Times New Roman"/>
        </w:rPr>
        <w:t xml:space="preserve"> so-called ‘sample trees’ (1-6 trees, mean = 3) on each plot. This includes determining the type and the cause of a damage; all damages are classified to type, with the possibility to record several types for each tree. The types of damages are ‘mechanical’, ‘crack’, ‘resin’, ‘necrosis’, ‘stem break’, ‘dry treetop’, ‘bent stem’, ‘root damage’, ‘root stem damage’ (i.e., root damage leading to leaning stem), ‘leaf and needle </w:t>
      </w:r>
      <w:proofErr w:type="gramStart"/>
      <w:r w:rsidRPr="005000F0">
        <w:rPr>
          <w:rFonts w:ascii="Times New Roman" w:hAnsi="Times New Roman"/>
        </w:rPr>
        <w:t>loss’</w:t>
      </w:r>
      <w:proofErr w:type="gramEnd"/>
      <w:r w:rsidRPr="005000F0">
        <w:rPr>
          <w:rFonts w:ascii="Times New Roman" w:hAnsi="Times New Roman"/>
        </w:rPr>
        <w:t>, and ‘foliage discoloration’. Causes of damages are ‘natural’, such as from large mammal herbivores, insects, snow, wind, fire, and fungi, as well as ‘human’, the last essentially always from forest management activities. Finally, ‘unidentified’ cause is specified. Moreover, damage from ‘wind and snow’ is lumped together, due to difficulties in teasing these apart. In this study, we analy</w:t>
      </w:r>
      <w:r>
        <w:rPr>
          <w:rFonts w:ascii="Times New Roman" w:hAnsi="Times New Roman"/>
        </w:rPr>
        <w:t>z</w:t>
      </w:r>
      <w:r w:rsidRPr="005000F0">
        <w:rPr>
          <w:rFonts w:ascii="Times New Roman" w:hAnsi="Times New Roman"/>
        </w:rPr>
        <w:t>ed only types and causes of damage that were common enough to produce viable statistical models, i.e., damages that occurred on ≥1.5% of the surveyed trees.</w:t>
      </w:r>
    </w:p>
    <w:p w14:paraId="633EEC8C" w14:textId="77777777" w:rsidR="001E146C" w:rsidRDefault="001E146C" w:rsidP="001E146C">
      <w:pPr>
        <w:pStyle w:val="Brdtext"/>
        <w:rPr>
          <w:rFonts w:ascii="Times New Roman" w:hAnsi="Times New Roman"/>
        </w:rPr>
      </w:pPr>
    </w:p>
    <w:p w14:paraId="39430261" w14:textId="329A4467" w:rsidR="001E146C" w:rsidRPr="005000F0" w:rsidRDefault="001E146C" w:rsidP="001E146C">
      <w:pPr>
        <w:pStyle w:val="Brdtext"/>
        <w:rPr>
          <w:rFonts w:ascii="Times New Roman" w:eastAsia="Times New Roman" w:hAnsi="Times New Roman" w:cs="Times New Roman"/>
        </w:rPr>
      </w:pPr>
      <w:r w:rsidRPr="005000F0">
        <w:rPr>
          <w:rFonts w:ascii="Times New Roman" w:hAnsi="Times New Roman"/>
        </w:rPr>
        <w:t xml:space="preserve">As explanatory covariates available in the NFI database, we used stand characteristics that are calculated based on all </w:t>
      </w:r>
      <w:proofErr w:type="spellStart"/>
      <w:r w:rsidRPr="005000F0">
        <w:rPr>
          <w:rFonts w:ascii="Times New Roman" w:hAnsi="Times New Roman"/>
        </w:rPr>
        <w:t>tree</w:t>
      </w:r>
      <w:proofErr w:type="spellEnd"/>
      <w:r w:rsidRPr="005000F0">
        <w:rPr>
          <w:rFonts w:ascii="Times New Roman" w:hAnsi="Times New Roman"/>
        </w:rPr>
        <w:t xml:space="preserve"> individuals with a diameter ≥</w:t>
      </w:r>
      <w:r>
        <w:rPr>
          <w:rFonts w:ascii="Times New Roman" w:hAnsi="Times New Roman"/>
        </w:rPr>
        <w:t xml:space="preserve"> </w:t>
      </w:r>
      <w:r w:rsidRPr="005000F0">
        <w:rPr>
          <w:rFonts w:ascii="Times New Roman" w:hAnsi="Times New Roman"/>
        </w:rPr>
        <w:t>40 mm at breast height (i.e., 1.3 m): mean stand height (m), stand volume (m</w:t>
      </w:r>
      <w:r w:rsidRPr="005000F0">
        <w:rPr>
          <w:rFonts w:ascii="Times New Roman" w:hAnsi="Times New Roman"/>
          <w:vertAlign w:val="superscript"/>
        </w:rPr>
        <w:t>3</w:t>
      </w:r>
      <w:r w:rsidRPr="005000F0">
        <w:rPr>
          <w:rFonts w:ascii="Times New Roman" w:hAnsi="Times New Roman"/>
        </w:rPr>
        <w:t xml:space="preserve"> ha</w:t>
      </w:r>
      <w:r w:rsidRPr="005000F0">
        <w:rPr>
          <w:rFonts w:ascii="Times New Roman" w:hAnsi="Times New Roman"/>
          <w:vertAlign w:val="superscript"/>
        </w:rPr>
        <w:t>-1</w:t>
      </w:r>
      <w:r w:rsidRPr="005000F0">
        <w:rPr>
          <w:rFonts w:ascii="Times New Roman" w:hAnsi="Times New Roman"/>
        </w:rPr>
        <w:t>), stand age (years), tree species richness, stand growth (m</w:t>
      </w:r>
      <w:r w:rsidRPr="005000F0">
        <w:rPr>
          <w:rFonts w:ascii="Times New Roman" w:hAnsi="Times New Roman"/>
          <w:vertAlign w:val="superscript"/>
        </w:rPr>
        <w:t>3</w:t>
      </w:r>
      <w:r w:rsidRPr="005000F0">
        <w:rPr>
          <w:rFonts w:ascii="Times New Roman" w:hAnsi="Times New Roman"/>
        </w:rPr>
        <w:t xml:space="preserve"> ha</w:t>
      </w:r>
      <w:r w:rsidRPr="005000F0">
        <w:rPr>
          <w:rFonts w:ascii="Times New Roman" w:hAnsi="Times New Roman"/>
          <w:vertAlign w:val="superscript"/>
        </w:rPr>
        <w:t>-1</w:t>
      </w:r>
      <w:r w:rsidRPr="005000F0">
        <w:rPr>
          <w:rFonts w:ascii="Times New Roman" w:hAnsi="Times New Roman"/>
        </w:rPr>
        <w:t xml:space="preserve"> 5 yrs</w:t>
      </w:r>
      <w:r w:rsidRPr="005000F0">
        <w:rPr>
          <w:rFonts w:ascii="Times New Roman" w:hAnsi="Times New Roman"/>
          <w:vertAlign w:val="superscript"/>
        </w:rPr>
        <w:t>-1</w:t>
      </w:r>
      <w:r w:rsidRPr="005000F0">
        <w:rPr>
          <w:rFonts w:ascii="Times New Roman" w:hAnsi="Times New Roman"/>
        </w:rPr>
        <w:t>). We also used temperature sum (°C), and humidity (mm). We also used data on the sample trees: i.e., tree species and tree height (m). All these selection criteria resulted in two datasets, each with a total of 59,933 (damage types) and 57,840 (damage causes) observations, each representing a tree.</w:t>
      </w:r>
    </w:p>
    <w:p w14:paraId="49990A67" w14:textId="77777777" w:rsidR="001E146C" w:rsidRDefault="001E146C" w:rsidP="001E146C">
      <w:pPr>
        <w:rPr>
          <w:rFonts w:ascii="Times New Roman" w:hAnsi="Times New Roman" w:cs="Times New Roman"/>
          <w:i/>
          <w:iCs/>
          <w:lang w:eastAsia="ja-JP"/>
        </w:rPr>
      </w:pPr>
    </w:p>
    <w:p w14:paraId="02AC47DE" w14:textId="7A813346" w:rsidR="001E146C" w:rsidRPr="00C0505D" w:rsidRDefault="001E146C" w:rsidP="001E146C">
      <w:pPr>
        <w:rPr>
          <w:rFonts w:ascii="Times New Roman" w:hAnsi="Times New Roman" w:cs="Times New Roman"/>
          <w:i/>
          <w:iCs/>
          <w:lang w:eastAsia="ja-JP"/>
        </w:rPr>
      </w:pPr>
      <w:r w:rsidRPr="00C0505D">
        <w:rPr>
          <w:rFonts w:ascii="Times New Roman" w:hAnsi="Times New Roman" w:cs="Times New Roman"/>
          <w:i/>
          <w:iCs/>
          <w:lang w:eastAsia="ja-JP"/>
        </w:rPr>
        <w:t>Criteria for damage types and causes</w:t>
      </w:r>
    </w:p>
    <w:p w14:paraId="264DB2A4" w14:textId="6C1C827F" w:rsidR="001E146C" w:rsidRPr="00C0505D" w:rsidRDefault="001E146C" w:rsidP="001E146C">
      <w:pPr>
        <w:rPr>
          <w:rFonts w:ascii="Times New Roman" w:hAnsi="Times New Roman" w:cs="Times New Roman"/>
          <w:lang w:eastAsia="ja-JP"/>
        </w:rPr>
      </w:pPr>
      <w:r w:rsidRPr="00C0505D">
        <w:rPr>
          <w:rFonts w:ascii="Times New Roman" w:hAnsi="Times New Roman" w:cs="Times New Roman"/>
          <w:lang w:eastAsia="ja-JP"/>
        </w:rPr>
        <w:t xml:space="preserve">For damage </w:t>
      </w:r>
      <w:r w:rsidRPr="00C0505D">
        <w:rPr>
          <w:rFonts w:ascii="Times New Roman" w:hAnsi="Times New Roman" w:cs="Times New Roman"/>
          <w:i/>
          <w:iCs/>
          <w:lang w:eastAsia="ja-JP"/>
        </w:rPr>
        <w:t>types</w:t>
      </w:r>
      <w:r w:rsidRPr="00C0505D">
        <w:rPr>
          <w:rFonts w:ascii="Times New Roman" w:hAnsi="Times New Roman" w:cs="Times New Roman"/>
          <w:lang w:eastAsia="ja-JP"/>
        </w:rPr>
        <w:t>, ‘mechanical’ damages are recorded if the damaged area exceeds 4 cm</w:t>
      </w:r>
      <w:r w:rsidRPr="00C0505D">
        <w:rPr>
          <w:rFonts w:ascii="Times New Roman" w:hAnsi="Times New Roman" w:cs="Times New Roman"/>
          <w:vertAlign w:val="superscript"/>
          <w:lang w:eastAsia="ja-JP"/>
        </w:rPr>
        <w:t>2</w:t>
      </w:r>
      <w:r w:rsidRPr="00C0505D">
        <w:rPr>
          <w:rFonts w:ascii="Times New Roman" w:hAnsi="Times New Roman" w:cs="Times New Roman"/>
          <w:lang w:eastAsia="ja-JP"/>
        </w:rPr>
        <w:t>. This damage type includes damages from forestry machines and other terrain vehicles, as well as trees damaging other trees, such as a falling tree damaging other trees or ‘whipping damage’ from young birches on shoots of young Scots pines or Norway spruce. Whipping damages can result in deformation of treetops and branches (i.e., “</w:t>
      </w:r>
      <w:proofErr w:type="spellStart"/>
      <w:r w:rsidRPr="00C0505D">
        <w:rPr>
          <w:rFonts w:ascii="Times New Roman" w:hAnsi="Times New Roman" w:cs="Times New Roman"/>
          <w:lang w:eastAsia="ja-JP"/>
        </w:rPr>
        <w:t>sprötkvist</w:t>
      </w:r>
      <w:proofErr w:type="spellEnd"/>
      <w:r w:rsidRPr="00C0505D">
        <w:rPr>
          <w:rFonts w:ascii="Times New Roman" w:hAnsi="Times New Roman" w:cs="Times New Roman"/>
          <w:lang w:eastAsia="ja-JP"/>
        </w:rPr>
        <w:t xml:space="preserve">” in Swedish and double stems), which are ‘damage’ types not included in our analyses due to lack of ecological relevance. A ‘crack’ is recorded if a fresh crack is longer than 20 cm and if it </w:t>
      </w:r>
      <w:r w:rsidRPr="00C0505D">
        <w:rPr>
          <w:rFonts w:ascii="Times New Roman" w:hAnsi="Times New Roman" w:cs="Times New Roman"/>
          <w:lang w:eastAsia="ja-JP"/>
        </w:rPr>
        <w:lastRenderedPageBreak/>
        <w:t>reaches the stem wood. ‘Resin’ and ‘necrosis’ are recorded only for Norway spruce, and to be recorded as a damage, a resin run must be at least 1 m in length and not primarily caused by mechanical damage, fire, fungi, or insects. Necrosis is dead cambium without an open wound, not caused by fungi or insects, and must exceed an area of 4 cm</w:t>
      </w:r>
      <w:r w:rsidRPr="00C0505D">
        <w:rPr>
          <w:rFonts w:ascii="Times New Roman" w:hAnsi="Times New Roman" w:cs="Times New Roman"/>
          <w:vertAlign w:val="superscript"/>
          <w:lang w:eastAsia="ja-JP"/>
        </w:rPr>
        <w:t>2</w:t>
      </w:r>
      <w:r w:rsidRPr="00C0505D">
        <w:rPr>
          <w:rFonts w:ascii="Times New Roman" w:hAnsi="Times New Roman" w:cs="Times New Roman"/>
          <w:lang w:eastAsia="ja-JP"/>
        </w:rPr>
        <w:t>. A ‘dry treetop’ is always registered as a damage, independent on extent of damage, if it is found on the highest treetop of a tree. Root damage is recorded if damage to the root system has resulted in a leaning stem (henceforth, ‘root stem’ damage), or if there is a broken or crushed root (&gt; 1 cm in diameter) or a root with damaged cambium, within 2 m from the stem base (henceforth, ‘root’ damage). The latter two types of root damage must exceed an area of 4 cm</w:t>
      </w:r>
      <w:r w:rsidRPr="00C0505D">
        <w:rPr>
          <w:rFonts w:ascii="Times New Roman" w:hAnsi="Times New Roman" w:cs="Times New Roman"/>
          <w:vertAlign w:val="superscript"/>
          <w:lang w:eastAsia="ja-JP"/>
        </w:rPr>
        <w:t>2</w:t>
      </w:r>
      <w:r w:rsidRPr="00C0505D">
        <w:rPr>
          <w:rFonts w:ascii="Times New Roman" w:hAnsi="Times New Roman" w:cs="Times New Roman"/>
          <w:lang w:eastAsia="ja-JP"/>
        </w:rPr>
        <w:t xml:space="preserve"> to be recorded. ‘Root deformation’ (‘</w:t>
      </w:r>
      <w:proofErr w:type="spellStart"/>
      <w:r w:rsidRPr="00C0505D">
        <w:rPr>
          <w:rFonts w:ascii="Times New Roman" w:hAnsi="Times New Roman" w:cs="Times New Roman"/>
          <w:lang w:eastAsia="ja-JP"/>
        </w:rPr>
        <w:t>rotsnurr</w:t>
      </w:r>
      <w:proofErr w:type="spellEnd"/>
      <w:r w:rsidRPr="00C0505D">
        <w:rPr>
          <w:rFonts w:ascii="Times New Roman" w:hAnsi="Times New Roman" w:cs="Times New Roman"/>
          <w:lang w:eastAsia="ja-JP"/>
        </w:rPr>
        <w:t>’, in Swedish) is also recorded as a separate type of root damage, but not common enough to be included in our analyses. ‘Leaf and needle loss’ is only recorded as a damage if the extent is estimated to be &gt; 25% of the total needle/leaf mass of the tree crown and if the loss is caused by mechanical damage or other known causes, such as browsing, insects, or fungi. Needle loss is not registered as a damage if poor tree condition, caused by, e.g., rotting fungi or spruce beetles, has resulted in diffuse loss of needles, but leaf and needle loss resulting from drought is recorded as a damage. Finally, ‘foliage discoloration’ is recorded as a damage independent on if the cause of the damage is known or not, but the extent of the discoloration must be &gt; 25% of the total needle/leaf mass of the tree crown, but this type of damage was too rare to be included in our analyses. ‘Fungi’ and ‘insects’ are also recorded as damage types, but they are also registered as causes of damage, and, in this study, we analyze these only as causes of damage (see below).</w:t>
      </w:r>
    </w:p>
    <w:p w14:paraId="0F070F60" w14:textId="77777777" w:rsidR="001E146C" w:rsidRDefault="001E146C" w:rsidP="001E146C">
      <w:pPr>
        <w:rPr>
          <w:rFonts w:ascii="Times New Roman" w:hAnsi="Times New Roman" w:cs="Times New Roman"/>
          <w:lang w:eastAsia="ja-JP"/>
        </w:rPr>
      </w:pPr>
    </w:p>
    <w:p w14:paraId="0DCB10C1" w14:textId="2FDB66E4" w:rsidR="001E146C" w:rsidRPr="00C0505D" w:rsidRDefault="001E146C" w:rsidP="001E146C">
      <w:pPr>
        <w:rPr>
          <w:rFonts w:ascii="Times New Roman" w:hAnsi="Times New Roman" w:cs="Times New Roman"/>
          <w:lang w:eastAsia="ja-JP"/>
        </w:rPr>
      </w:pPr>
      <w:r w:rsidRPr="00C0505D">
        <w:rPr>
          <w:rFonts w:ascii="Times New Roman" w:hAnsi="Times New Roman" w:cs="Times New Roman"/>
          <w:lang w:eastAsia="ja-JP"/>
        </w:rPr>
        <w:t>For causes of damage, the category ‘large mammal herbivores’ (actually ‘vertebrates’, in the NFI) potentially includes damages from moose (</w:t>
      </w:r>
      <w:r w:rsidRPr="00C0505D">
        <w:rPr>
          <w:rFonts w:ascii="Times New Roman" w:hAnsi="Times New Roman" w:cs="Times New Roman"/>
          <w:i/>
          <w:iCs/>
          <w:lang w:eastAsia="ja-JP"/>
        </w:rPr>
        <w:t xml:space="preserve">Alces </w:t>
      </w:r>
      <w:proofErr w:type="spellStart"/>
      <w:r w:rsidRPr="00C0505D">
        <w:rPr>
          <w:rFonts w:ascii="Times New Roman" w:hAnsi="Times New Roman" w:cs="Times New Roman"/>
          <w:i/>
          <w:iCs/>
          <w:lang w:eastAsia="ja-JP"/>
        </w:rPr>
        <w:t>alces</w:t>
      </w:r>
      <w:proofErr w:type="spellEnd"/>
      <w:r w:rsidRPr="00C0505D">
        <w:rPr>
          <w:rFonts w:ascii="Times New Roman" w:hAnsi="Times New Roman" w:cs="Times New Roman"/>
          <w:lang w:eastAsia="ja-JP"/>
        </w:rPr>
        <w:t>), reindeer (</w:t>
      </w:r>
      <w:r w:rsidRPr="00C0505D">
        <w:rPr>
          <w:rFonts w:ascii="Times New Roman" w:hAnsi="Times New Roman" w:cs="Times New Roman"/>
          <w:i/>
          <w:iCs/>
          <w:lang w:eastAsia="ja-JP"/>
        </w:rPr>
        <w:t>Rangifer tarandus</w:t>
      </w:r>
      <w:r w:rsidRPr="00C0505D">
        <w:rPr>
          <w:rFonts w:ascii="Times New Roman" w:hAnsi="Times New Roman" w:cs="Times New Roman"/>
          <w:lang w:eastAsia="ja-JP"/>
        </w:rPr>
        <w:t>), roe deer (</w:t>
      </w:r>
      <w:r w:rsidRPr="00C0505D">
        <w:rPr>
          <w:rFonts w:ascii="Times New Roman" w:hAnsi="Times New Roman" w:cs="Times New Roman"/>
          <w:i/>
          <w:iCs/>
          <w:lang w:eastAsia="ja-JP"/>
        </w:rPr>
        <w:t>Capreolus capreolus</w:t>
      </w:r>
      <w:r w:rsidRPr="00C0505D">
        <w:rPr>
          <w:rFonts w:ascii="Times New Roman" w:hAnsi="Times New Roman" w:cs="Times New Roman"/>
          <w:lang w:eastAsia="ja-JP"/>
        </w:rPr>
        <w:t>), wild boar (</w:t>
      </w:r>
      <w:r w:rsidRPr="00C0505D">
        <w:rPr>
          <w:rFonts w:ascii="Times New Roman" w:hAnsi="Times New Roman" w:cs="Times New Roman"/>
          <w:i/>
          <w:iCs/>
          <w:lang w:eastAsia="ja-JP"/>
        </w:rPr>
        <w:t>Sus scrofa</w:t>
      </w:r>
      <w:r w:rsidRPr="00C0505D">
        <w:rPr>
          <w:rFonts w:ascii="Times New Roman" w:hAnsi="Times New Roman" w:cs="Times New Roman"/>
          <w:lang w:eastAsia="ja-JP"/>
        </w:rPr>
        <w:t>), ‘other large mammal’, Eurasian beaver (</w:t>
      </w:r>
      <w:r w:rsidRPr="00C0505D">
        <w:rPr>
          <w:rFonts w:ascii="Times New Roman" w:hAnsi="Times New Roman" w:cs="Times New Roman"/>
          <w:i/>
          <w:iCs/>
          <w:lang w:eastAsia="ja-JP"/>
        </w:rPr>
        <w:t>Castor fiber</w:t>
      </w:r>
      <w:r w:rsidRPr="00C0505D">
        <w:rPr>
          <w:rFonts w:ascii="Times New Roman" w:hAnsi="Times New Roman" w:cs="Times New Roman"/>
          <w:lang w:eastAsia="ja-JP"/>
        </w:rPr>
        <w:t>), ‘other rodent’, and ‘other vertebrate’, but a vast majority of recorded, identified herbivore damages are assigned to moose. Only identified moose damage was recorded enough to be analyzed separately in this study. For this study, we excluded damages from this category that were identified to be caused by Eurasian beaver (occurred on 0.03% of the trees), as these presumably to a large degree are determined by proximity to water, besides forest characteristics.</w:t>
      </w:r>
      <w:r w:rsidRPr="00F01F29">
        <w:rPr>
          <w:rFonts w:ascii="Times New Roman" w:hAnsi="Times New Roman" w:cs="Times New Roman"/>
          <w:lang w:eastAsia="ja-JP"/>
        </w:rPr>
        <w:t xml:space="preserve"> Further, for ‘necrosis’ and ‘resin’, damages are recorded for Norway spruce only. For ‘rust fungi’, we analy</w:t>
      </w:r>
      <w:r>
        <w:rPr>
          <w:rFonts w:ascii="Times New Roman" w:hAnsi="Times New Roman" w:cs="Times New Roman"/>
          <w:lang w:eastAsia="ja-JP"/>
        </w:rPr>
        <w:t>z</w:t>
      </w:r>
      <w:r w:rsidRPr="00F01F29">
        <w:rPr>
          <w:rFonts w:ascii="Times New Roman" w:hAnsi="Times New Roman" w:cs="Times New Roman"/>
          <w:lang w:eastAsia="ja-JP"/>
        </w:rPr>
        <w:t>ed only Norway spruce and Scots pine, as these were the only tree species with sufficiently high damage frequency to be analy</w:t>
      </w:r>
      <w:r>
        <w:rPr>
          <w:rFonts w:ascii="Times New Roman" w:hAnsi="Times New Roman" w:cs="Times New Roman"/>
          <w:lang w:eastAsia="ja-JP"/>
        </w:rPr>
        <w:t>z</w:t>
      </w:r>
      <w:r w:rsidRPr="00F01F29">
        <w:rPr>
          <w:rFonts w:ascii="Times New Roman" w:hAnsi="Times New Roman" w:cs="Times New Roman"/>
          <w:lang w:eastAsia="ja-JP"/>
        </w:rPr>
        <w:t>ed, and for ‘root stem’, ‘root’, and ‘moose’, we excluded 1-2 tree species that had too few recorded damages to work in the statistical model.</w:t>
      </w:r>
    </w:p>
    <w:p w14:paraId="424E780E" w14:textId="77777777" w:rsidR="001E146C" w:rsidRPr="00C0505D" w:rsidRDefault="001E146C" w:rsidP="001E146C">
      <w:pPr>
        <w:rPr>
          <w:rFonts w:ascii="Times New Roman" w:hAnsi="Times New Roman" w:cs="Times New Roman"/>
          <w:lang w:eastAsia="ja-JP"/>
        </w:rPr>
      </w:pPr>
    </w:p>
    <w:p w14:paraId="576096EA" w14:textId="77777777" w:rsidR="001E146C" w:rsidRPr="00C0505D" w:rsidRDefault="001E146C" w:rsidP="001E146C">
      <w:pPr>
        <w:rPr>
          <w:rFonts w:ascii="Times New Roman" w:hAnsi="Times New Roman" w:cs="Times New Roman"/>
          <w:i/>
          <w:iCs/>
          <w:lang w:eastAsia="ja-JP"/>
        </w:rPr>
      </w:pPr>
      <w:r w:rsidRPr="00C0505D">
        <w:rPr>
          <w:rFonts w:ascii="Times New Roman" w:hAnsi="Times New Roman" w:cs="Times New Roman"/>
          <w:i/>
          <w:iCs/>
          <w:lang w:eastAsia="ja-JP"/>
        </w:rPr>
        <w:br w:type="page"/>
      </w:r>
    </w:p>
    <w:p w14:paraId="2F8A6314" w14:textId="77777777" w:rsidR="001E146C" w:rsidRPr="00C0505D" w:rsidRDefault="001E146C" w:rsidP="001E146C">
      <w:pPr>
        <w:rPr>
          <w:rFonts w:ascii="Times New Roman" w:hAnsi="Times New Roman" w:cs="Times New Roman"/>
          <w:i/>
          <w:iCs/>
          <w:lang w:eastAsia="ja-JP"/>
        </w:rPr>
      </w:pPr>
      <w:r w:rsidRPr="00C0505D">
        <w:rPr>
          <w:rFonts w:ascii="Times New Roman" w:hAnsi="Times New Roman" w:cs="Times New Roman"/>
          <w:i/>
          <w:iCs/>
          <w:lang w:eastAsia="ja-JP"/>
        </w:rPr>
        <w:lastRenderedPageBreak/>
        <w:t>Covariates</w:t>
      </w:r>
    </w:p>
    <w:p w14:paraId="6B07C876" w14:textId="77777777" w:rsidR="001E146C" w:rsidRPr="00C0505D" w:rsidRDefault="001E146C" w:rsidP="001E146C">
      <w:pPr>
        <w:rPr>
          <w:rFonts w:ascii="Times New Roman" w:hAnsi="Times New Roman" w:cs="Times New Roman"/>
          <w:lang w:eastAsia="ja-JP"/>
        </w:rPr>
      </w:pPr>
      <w:r w:rsidRPr="00C0505D">
        <w:rPr>
          <w:rFonts w:ascii="Times New Roman" w:hAnsi="Times New Roman" w:cs="Times New Roman"/>
          <w:lang w:eastAsia="ja-JP"/>
        </w:rPr>
        <w:t>Stand volume is by the NFI calculated from tree height and diameter at breast height of all individual trees with a diameter of ≥ 40 mm at breast height. Forest stand age is by the NFI calculated as the mean age of at least three trees (random selection, weighted by basal area during the field work), independent on tree species identity. Tree species richness was calculated as the sum of the presences of the 11 tree species observed in the datasets and ranged from 1 to 8 across all plots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9,157, 22,454, 20,709, 5,449, 1,551, 439, 162, 12, respectively, and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8,962, 21,555, 19, 857, 5,186, 1,425, 402, 152, 12, respectively, for damage types and damage causes, respectively). Stand growth is by the NFI calculated as the difference in standing volume between surveys (i.e., change over 5 years). Temperature sum (or degree days) is a measure of local climate and is defined as the accumulated mean temperature (in °C) for days warmer that 5 °C (i.e., during the vegetation period). Humidity was measured as the difference in mm between the addition of water via precipitation and the loss of water due to transpiration and evaporation during the vegetation period. </w:t>
      </w:r>
    </w:p>
    <w:p w14:paraId="2BA540F3" w14:textId="77777777" w:rsidR="001E146C" w:rsidRDefault="001E146C" w:rsidP="001E146C">
      <w:pPr>
        <w:rPr>
          <w:rFonts w:ascii="Times New Roman" w:hAnsi="Times New Roman" w:cs="Times New Roman"/>
          <w:lang w:eastAsia="ja-JP"/>
        </w:rPr>
      </w:pPr>
    </w:p>
    <w:p w14:paraId="24A23AAC" w14:textId="1CE5817C" w:rsidR="001E146C" w:rsidRPr="00C0505D" w:rsidRDefault="001E146C" w:rsidP="001E146C">
      <w:pPr>
        <w:rPr>
          <w:rFonts w:ascii="Times New Roman" w:hAnsi="Times New Roman" w:cs="Times New Roman"/>
          <w:lang w:eastAsia="ja-JP"/>
        </w:rPr>
      </w:pPr>
      <w:r w:rsidRPr="00C0505D">
        <w:rPr>
          <w:rFonts w:ascii="Times New Roman" w:hAnsi="Times New Roman" w:cs="Times New Roman"/>
          <w:lang w:eastAsia="ja-JP"/>
        </w:rPr>
        <w:t>The 11 different tree species (taxa) in our datasets were Scots pine (</w:t>
      </w:r>
      <w:r w:rsidRPr="00C0505D">
        <w:rPr>
          <w:rFonts w:ascii="Times New Roman" w:hAnsi="Times New Roman" w:cs="Times New Roman"/>
          <w:i/>
          <w:iCs/>
          <w:lang w:eastAsia="ja-JP"/>
        </w:rPr>
        <w:t>Pinus sylvestris</w:t>
      </w:r>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25,623 and 24,960, for damage types and damage causes, respectively), Norway spruce (</w:t>
      </w:r>
      <w:r w:rsidRPr="00C0505D">
        <w:rPr>
          <w:rFonts w:ascii="Times New Roman" w:hAnsi="Times New Roman" w:cs="Times New Roman"/>
          <w:i/>
          <w:iCs/>
          <w:lang w:eastAsia="ja-JP"/>
        </w:rPr>
        <w:t>Picea abies</w:t>
      </w:r>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21,651 and 20,911), downy birch (</w:t>
      </w:r>
      <w:r w:rsidRPr="00C0505D">
        <w:rPr>
          <w:rFonts w:ascii="Times New Roman" w:hAnsi="Times New Roman" w:cs="Times New Roman"/>
          <w:i/>
          <w:iCs/>
          <w:lang w:eastAsia="ja-JP"/>
        </w:rPr>
        <w:t xml:space="preserve">Betula </w:t>
      </w:r>
      <w:proofErr w:type="spellStart"/>
      <w:r w:rsidRPr="00C0505D">
        <w:rPr>
          <w:rFonts w:ascii="Times New Roman" w:hAnsi="Times New Roman" w:cs="Times New Roman"/>
          <w:i/>
          <w:iCs/>
          <w:lang w:eastAsia="ja-JP"/>
        </w:rPr>
        <w:t>pubescens</w:t>
      </w:r>
      <w:proofErr w:type="spellEnd"/>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6,146 and 5,727), warty birch (</w:t>
      </w:r>
      <w:r w:rsidRPr="00C0505D">
        <w:rPr>
          <w:rFonts w:ascii="Times New Roman" w:hAnsi="Times New Roman" w:cs="Times New Roman"/>
          <w:i/>
          <w:iCs/>
          <w:lang w:eastAsia="ja-JP"/>
        </w:rPr>
        <w:t>Betula pendula</w:t>
      </w:r>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1,760 and 1,678), lodgepole pine (</w:t>
      </w:r>
      <w:r w:rsidRPr="00C0505D">
        <w:rPr>
          <w:rFonts w:ascii="Times New Roman" w:hAnsi="Times New Roman" w:cs="Times New Roman"/>
          <w:i/>
          <w:iCs/>
          <w:lang w:eastAsia="ja-JP"/>
        </w:rPr>
        <w:t>Pinus contorta</w:t>
      </w:r>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1,121 and 1,118), English oak (</w:t>
      </w:r>
      <w:r w:rsidRPr="00C0505D">
        <w:rPr>
          <w:rFonts w:ascii="Times New Roman" w:hAnsi="Times New Roman" w:cs="Times New Roman"/>
          <w:i/>
          <w:iCs/>
          <w:lang w:eastAsia="ja-JP"/>
        </w:rPr>
        <w:t xml:space="preserve">Quercus </w:t>
      </w:r>
      <w:proofErr w:type="spellStart"/>
      <w:r w:rsidRPr="00C0505D">
        <w:rPr>
          <w:rFonts w:ascii="Times New Roman" w:hAnsi="Times New Roman" w:cs="Times New Roman"/>
          <w:i/>
          <w:iCs/>
          <w:lang w:eastAsia="ja-JP"/>
        </w:rPr>
        <w:t>robur</w:t>
      </w:r>
      <w:proofErr w:type="spellEnd"/>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941 and 869), European aspen (</w:t>
      </w:r>
      <w:r w:rsidRPr="00C0505D">
        <w:rPr>
          <w:rFonts w:ascii="Times New Roman" w:hAnsi="Times New Roman" w:cs="Times New Roman"/>
          <w:i/>
          <w:iCs/>
          <w:lang w:eastAsia="ja-JP"/>
        </w:rPr>
        <w:t xml:space="preserve">Populus </w:t>
      </w:r>
      <w:proofErr w:type="spellStart"/>
      <w:r w:rsidRPr="00C0505D">
        <w:rPr>
          <w:rFonts w:ascii="Times New Roman" w:hAnsi="Times New Roman" w:cs="Times New Roman"/>
          <w:i/>
          <w:iCs/>
          <w:lang w:eastAsia="ja-JP"/>
        </w:rPr>
        <w:t>tremula</w:t>
      </w:r>
      <w:proofErr w:type="spellEnd"/>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826 and 813), willow (</w:t>
      </w:r>
      <w:r w:rsidRPr="00C0505D">
        <w:rPr>
          <w:rFonts w:ascii="Times New Roman" w:hAnsi="Times New Roman" w:cs="Times New Roman"/>
          <w:i/>
          <w:iCs/>
          <w:lang w:eastAsia="ja-JP"/>
        </w:rPr>
        <w:t>Salix</w:t>
      </w:r>
      <w:r w:rsidRPr="00C0505D">
        <w:rPr>
          <w:rFonts w:ascii="Times New Roman" w:hAnsi="Times New Roman" w:cs="Times New Roman"/>
          <w:lang w:eastAsia="ja-JP"/>
        </w:rPr>
        <w:t xml:space="preserve"> sp.;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693 and 652), European beech (</w:t>
      </w:r>
      <w:r w:rsidRPr="00C0505D">
        <w:rPr>
          <w:rFonts w:ascii="Times New Roman" w:hAnsi="Times New Roman" w:cs="Times New Roman"/>
          <w:i/>
          <w:iCs/>
          <w:lang w:eastAsia="ja-JP"/>
        </w:rPr>
        <w:t>Fagus sylvatica</w:t>
      </w:r>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521 and 484), black alder (</w:t>
      </w:r>
      <w:r w:rsidRPr="00C0505D">
        <w:rPr>
          <w:rFonts w:ascii="Times New Roman" w:hAnsi="Times New Roman" w:cs="Times New Roman"/>
          <w:i/>
          <w:iCs/>
          <w:lang w:eastAsia="ja-JP"/>
        </w:rPr>
        <w:t xml:space="preserve">Alnus </w:t>
      </w:r>
      <w:proofErr w:type="spellStart"/>
      <w:r w:rsidRPr="00C0505D">
        <w:rPr>
          <w:rFonts w:ascii="Times New Roman" w:hAnsi="Times New Roman" w:cs="Times New Roman"/>
          <w:i/>
          <w:iCs/>
          <w:lang w:eastAsia="ja-JP"/>
        </w:rPr>
        <w:t>glutinosa</w:t>
      </w:r>
      <w:proofErr w:type="spellEnd"/>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375 and 355), and gray alder (</w:t>
      </w:r>
      <w:r w:rsidRPr="00C0505D">
        <w:rPr>
          <w:rFonts w:ascii="Times New Roman" w:hAnsi="Times New Roman" w:cs="Times New Roman"/>
          <w:i/>
          <w:iCs/>
          <w:lang w:eastAsia="ja-JP"/>
        </w:rPr>
        <w:t xml:space="preserve">Alnus </w:t>
      </w:r>
      <w:proofErr w:type="spellStart"/>
      <w:r w:rsidRPr="00C0505D">
        <w:rPr>
          <w:rFonts w:ascii="Times New Roman" w:hAnsi="Times New Roman" w:cs="Times New Roman"/>
          <w:i/>
          <w:iCs/>
          <w:lang w:eastAsia="ja-JP"/>
        </w:rPr>
        <w:t>incana</w:t>
      </w:r>
      <w:proofErr w:type="spellEnd"/>
      <w:r w:rsidRPr="00C0505D">
        <w:rPr>
          <w:rFonts w:ascii="Times New Roman" w:hAnsi="Times New Roman" w:cs="Times New Roman"/>
          <w:lang w:eastAsia="ja-JP"/>
        </w:rPr>
        <w:t xml:space="preserve">; </w:t>
      </w:r>
      <w:r w:rsidRPr="00C0505D">
        <w:rPr>
          <w:rFonts w:ascii="Times New Roman" w:hAnsi="Times New Roman" w:cs="Times New Roman"/>
          <w:i/>
          <w:iCs/>
          <w:lang w:eastAsia="ja-JP"/>
        </w:rPr>
        <w:t>n</w:t>
      </w:r>
      <w:r w:rsidRPr="00C0505D">
        <w:rPr>
          <w:rFonts w:ascii="Times New Roman" w:hAnsi="Times New Roman" w:cs="Times New Roman"/>
          <w:lang w:eastAsia="ja-JP"/>
        </w:rPr>
        <w:t xml:space="preserve"> = 276 and 273), after removing species that occurred less than 200 times in the entire datasets.</w:t>
      </w:r>
    </w:p>
    <w:p w14:paraId="64800D33" w14:textId="77777777" w:rsidR="005B100E" w:rsidRPr="003408EC" w:rsidRDefault="005B100E" w:rsidP="003408EC">
      <w:pPr>
        <w:rPr>
          <w:rFonts w:ascii="Times New Roman" w:hAnsi="Times New Roman" w:cs="Times New Roman"/>
        </w:rPr>
      </w:pPr>
    </w:p>
    <w:p w14:paraId="2C465669" w14:textId="77777777" w:rsidR="003408EC" w:rsidRDefault="003408EC" w:rsidP="003408EC">
      <w:pPr>
        <w:rPr>
          <w:rFonts w:ascii="Times New Roman" w:hAnsi="Times New Roman" w:cs="Times New Roman"/>
        </w:rPr>
      </w:pPr>
    </w:p>
    <w:p w14:paraId="6EEE02C3" w14:textId="3BECD632" w:rsidR="003408EC" w:rsidRPr="003408EC" w:rsidRDefault="003408EC" w:rsidP="003408EC">
      <w:pPr>
        <w:rPr>
          <w:rFonts w:ascii="Times New Roman" w:hAnsi="Times New Roman" w:cs="Times New Roman"/>
          <w:i/>
          <w:iCs/>
        </w:rPr>
      </w:pPr>
      <w:r w:rsidRPr="003408EC">
        <w:rPr>
          <w:rFonts w:ascii="Times New Roman" w:hAnsi="Times New Roman" w:cs="Times New Roman"/>
          <w:i/>
          <w:iCs/>
        </w:rPr>
        <w:t>Reference</w:t>
      </w:r>
    </w:p>
    <w:p w14:paraId="14FA2AAA" w14:textId="77777777" w:rsidR="003408EC" w:rsidRPr="003408EC" w:rsidRDefault="003408EC" w:rsidP="003408EC">
      <w:pPr>
        <w:pStyle w:val="Brdtext"/>
        <w:ind w:left="284" w:hanging="284"/>
        <w:rPr>
          <w:rFonts w:ascii="Times New Roman" w:eastAsia="Times New Roman" w:hAnsi="Times New Roman" w:cs="Times New Roman"/>
        </w:rPr>
      </w:pPr>
      <w:r w:rsidRPr="003408EC">
        <w:rPr>
          <w:rFonts w:ascii="Times New Roman" w:hAnsi="Times New Roman" w:cs="Times New Roman"/>
          <w:lang w:val="sv-SE"/>
        </w:rPr>
        <w:t xml:space="preserve">Axelsson, A. -L., G. Ståhl, U. Söderberg, H. Petersson, J. Fridman, and A. Lundström. </w:t>
      </w:r>
      <w:r w:rsidRPr="003408EC">
        <w:rPr>
          <w:rFonts w:ascii="Times New Roman" w:hAnsi="Times New Roman" w:cs="Times New Roman"/>
        </w:rPr>
        <w:t>2010. “National Forest Inventory Report Sweden.”</w:t>
      </w:r>
      <w:r w:rsidRPr="003408EC">
        <w:rPr>
          <w:rFonts w:ascii="Times New Roman" w:hAnsi="Times New Roman" w:cs="Times New Roman"/>
          <w:i/>
          <w:iCs/>
        </w:rPr>
        <w:t xml:space="preserve"> </w:t>
      </w:r>
      <w:r w:rsidRPr="003408EC">
        <w:rPr>
          <w:rFonts w:ascii="Times New Roman" w:hAnsi="Times New Roman" w:cs="Times New Roman"/>
        </w:rPr>
        <w:t xml:space="preserve">In </w:t>
      </w:r>
      <w:r w:rsidRPr="003408EC">
        <w:rPr>
          <w:rFonts w:ascii="Times New Roman" w:hAnsi="Times New Roman" w:cs="Times New Roman"/>
          <w:i/>
          <w:iCs/>
        </w:rPr>
        <w:t>National Forest Inventories – Pathways for Common Reporting</w:t>
      </w:r>
      <w:r w:rsidRPr="003408EC">
        <w:rPr>
          <w:rFonts w:ascii="Times New Roman" w:hAnsi="Times New Roman" w:cs="Times New Roman"/>
        </w:rPr>
        <w:t xml:space="preserve">, edited by </w:t>
      </w:r>
      <w:proofErr w:type="spellStart"/>
      <w:r w:rsidRPr="003408EC">
        <w:rPr>
          <w:rFonts w:ascii="Times New Roman" w:hAnsi="Times New Roman" w:cs="Times New Roman"/>
        </w:rPr>
        <w:t>Tomppo</w:t>
      </w:r>
      <w:proofErr w:type="spellEnd"/>
      <w:r w:rsidRPr="003408EC">
        <w:rPr>
          <w:rFonts w:ascii="Times New Roman" w:hAnsi="Times New Roman" w:cs="Times New Roman"/>
        </w:rPr>
        <w:t xml:space="preserve">, E., T. </w:t>
      </w:r>
      <w:proofErr w:type="spellStart"/>
      <w:r w:rsidRPr="003408EC">
        <w:rPr>
          <w:rFonts w:ascii="Times New Roman" w:hAnsi="Times New Roman" w:cs="Times New Roman"/>
        </w:rPr>
        <w:t>Gschwantner</w:t>
      </w:r>
      <w:proofErr w:type="spellEnd"/>
      <w:r w:rsidRPr="003408EC">
        <w:rPr>
          <w:rFonts w:ascii="Times New Roman" w:hAnsi="Times New Roman" w:cs="Times New Roman"/>
        </w:rPr>
        <w:t>, M. Lawrence, and R. E. McRoberts. Springer.</w:t>
      </w:r>
    </w:p>
    <w:p w14:paraId="43C91A13" w14:textId="77777777" w:rsidR="003408EC" w:rsidRDefault="003408EC"/>
    <w:sectPr w:rsidR="003408EC" w:rsidSect="004A4C6D">
      <w:headerReference w:type="even" r:id="rId6"/>
      <w:headerReference w:type="default" r:id="rId7"/>
      <w:headerReference w:type="first" r:id="rId8"/>
      <w:pgSz w:w="11900" w:h="16840"/>
      <w:pgMar w:top="2325" w:right="1418" w:bottom="1418" w:left="1418" w:header="680"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87851" w14:textId="77777777" w:rsidR="00260ABE" w:rsidRDefault="00260ABE" w:rsidP="001E146C">
      <w:r>
        <w:separator/>
      </w:r>
    </w:p>
  </w:endnote>
  <w:endnote w:type="continuationSeparator" w:id="0">
    <w:p w14:paraId="5C89703C" w14:textId="77777777" w:rsidR="00260ABE" w:rsidRDefault="00260ABE" w:rsidP="001E1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6F33A" w14:textId="77777777" w:rsidR="00260ABE" w:rsidRDefault="00260ABE" w:rsidP="001E146C">
      <w:r>
        <w:separator/>
      </w:r>
    </w:p>
  </w:footnote>
  <w:footnote w:type="continuationSeparator" w:id="0">
    <w:p w14:paraId="1475EDE6" w14:textId="77777777" w:rsidR="00260ABE" w:rsidRDefault="00260ABE" w:rsidP="001E1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A9F52" w14:textId="0744E9CB" w:rsidR="001E146C" w:rsidRDefault="001E146C">
    <w:pPr>
      <w:pStyle w:val="Header"/>
    </w:pPr>
    <w:r>
      <w:rPr>
        <w:noProof/>
        <w14:ligatures w14:val="standardContextual"/>
      </w:rPr>
      <mc:AlternateContent>
        <mc:Choice Requires="wps">
          <w:drawing>
            <wp:anchor distT="0" distB="0" distL="0" distR="0" simplePos="0" relativeHeight="251659264" behindDoc="0" locked="0" layoutInCell="1" allowOverlap="1" wp14:anchorId="79C9D680" wp14:editId="242C622F">
              <wp:simplePos x="635" y="635"/>
              <wp:positionH relativeFrom="page">
                <wp:align>right</wp:align>
              </wp:positionH>
              <wp:positionV relativeFrom="page">
                <wp:align>top</wp:align>
              </wp:positionV>
              <wp:extent cx="1015365" cy="314325"/>
              <wp:effectExtent l="0" t="0" r="0" b="3175"/>
              <wp:wrapNone/>
              <wp:docPr id="1421998267" name="Text Box 2"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5365" cy="314325"/>
                      </a:xfrm>
                      <a:prstGeom prst="rect">
                        <a:avLst/>
                      </a:prstGeom>
                      <a:noFill/>
                      <a:ln>
                        <a:noFill/>
                      </a:ln>
                    </wps:spPr>
                    <wps:txbx>
                      <w:txbxContent>
                        <w:p w14:paraId="6427C9EE" w14:textId="657A8A0C" w:rsidR="001E146C" w:rsidRPr="001E146C" w:rsidRDefault="001E146C" w:rsidP="001E146C">
                          <w:pPr>
                            <w:rPr>
                              <w:rFonts w:ascii="Calibri" w:eastAsia="Calibri" w:hAnsi="Calibri" w:cs="Calibri"/>
                              <w:noProof/>
                              <w:color w:val="000000"/>
                              <w:sz w:val="16"/>
                              <w:szCs w:val="16"/>
                            </w:rPr>
                          </w:pPr>
                          <w:r w:rsidRPr="001E146C">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9C9D680" id="_x0000_t202" coordsize="21600,21600" o:spt="202" path="m,l,21600r21600,l21600,xe">
              <v:stroke joinstyle="miter"/>
              <v:path gradientshapeok="t" o:connecttype="rect"/>
            </v:shapetype>
            <v:shape id="Text Box 2" o:spid="_x0000_s1026" type="#_x0000_t202" alt="Begränsad delning" style="position:absolute;margin-left:28.75pt;margin-top:0;width:79.95pt;height:24.7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" filled="f" stroked="f">
              <v:fill o:detectmouseclick="t"/>
              <v:textbox style="mso-fit-shape-to-text:t" inset="0,15pt,20pt,0">
                <w:txbxContent>
                  <w:p w14:paraId="6427C9EE" w14:textId="657A8A0C" w:rsidR="001E146C" w:rsidRPr="001E146C" w:rsidRDefault="001E146C" w:rsidP="001E146C">
                    <w:pPr>
                      <w:rPr>
                        <w:rFonts w:ascii="Calibri" w:eastAsia="Calibri" w:hAnsi="Calibri" w:cs="Calibri"/>
                        <w:noProof/>
                        <w:color w:val="000000"/>
                        <w:sz w:val="16"/>
                        <w:szCs w:val="16"/>
                      </w:rPr>
                    </w:pPr>
                    <w:r w:rsidRPr="001E146C">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5A67F" w14:textId="29A66008" w:rsidR="001E146C" w:rsidRDefault="001E146C">
    <w:pPr>
      <w:pStyle w:val="Header"/>
    </w:pPr>
    <w:r>
      <w:rPr>
        <w:noProof/>
        <w14:ligatures w14:val="standardContextual"/>
      </w:rPr>
      <mc:AlternateContent>
        <mc:Choice Requires="wps">
          <w:drawing>
            <wp:anchor distT="0" distB="0" distL="0" distR="0" simplePos="0" relativeHeight="251660288" behindDoc="0" locked="0" layoutInCell="1" allowOverlap="1" wp14:anchorId="6EBEEB65" wp14:editId="55F256C1">
              <wp:simplePos x="635" y="635"/>
              <wp:positionH relativeFrom="page">
                <wp:align>right</wp:align>
              </wp:positionH>
              <wp:positionV relativeFrom="page">
                <wp:align>top</wp:align>
              </wp:positionV>
              <wp:extent cx="1015365" cy="314325"/>
              <wp:effectExtent l="0" t="0" r="0" b="3175"/>
              <wp:wrapNone/>
              <wp:docPr id="2142227352" name="Text Box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5365" cy="314325"/>
                      </a:xfrm>
                      <a:prstGeom prst="rect">
                        <a:avLst/>
                      </a:prstGeom>
                      <a:noFill/>
                      <a:ln>
                        <a:noFill/>
                      </a:ln>
                    </wps:spPr>
                    <wps:txbx>
                      <w:txbxContent>
                        <w:p w14:paraId="02EC6FAF" w14:textId="43854AFD" w:rsidR="001E146C" w:rsidRPr="001E146C" w:rsidRDefault="001E146C" w:rsidP="001E146C">
                          <w:pPr>
                            <w:rPr>
                              <w:rFonts w:ascii="Calibri" w:eastAsia="Calibri" w:hAnsi="Calibri" w:cs="Calibri"/>
                              <w:noProof/>
                              <w:color w:val="000000"/>
                              <w:sz w:val="16"/>
                              <w:szCs w:val="16"/>
                            </w:rPr>
                          </w:pPr>
                          <w:r w:rsidRPr="001E146C">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EBEEB65" id="_x0000_t202" coordsize="21600,21600" o:spt="202" path="m,l,21600r21600,l21600,xe">
              <v:stroke joinstyle="miter"/>
              <v:path gradientshapeok="t" o:connecttype="rect"/>
            </v:shapetype>
            <v:shape id="Text Box 3" o:spid="_x0000_s1027" type="#_x0000_t202" alt="Begränsad delning" style="position:absolute;margin-left:28.75pt;margin-top:0;width:79.95pt;height:24.7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" filled="f" stroked="f">
              <v:fill o:detectmouseclick="t"/>
              <v:textbox style="mso-fit-shape-to-text:t" inset="0,15pt,20pt,0">
                <w:txbxContent>
                  <w:p w14:paraId="02EC6FAF" w14:textId="43854AFD" w:rsidR="001E146C" w:rsidRPr="001E146C" w:rsidRDefault="001E146C" w:rsidP="001E146C">
                    <w:pPr>
                      <w:rPr>
                        <w:rFonts w:ascii="Calibri" w:eastAsia="Calibri" w:hAnsi="Calibri" w:cs="Calibri"/>
                        <w:noProof/>
                        <w:color w:val="000000"/>
                        <w:sz w:val="16"/>
                        <w:szCs w:val="16"/>
                      </w:rPr>
                    </w:pPr>
                    <w:r w:rsidRPr="001E146C">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C62D6" w14:textId="46F0260F" w:rsidR="001E146C" w:rsidRDefault="001E146C">
    <w:pPr>
      <w:pStyle w:val="Header"/>
    </w:pPr>
    <w:r>
      <w:rPr>
        <w:noProof/>
        <w14:ligatures w14:val="standardContextual"/>
      </w:rPr>
      <mc:AlternateContent>
        <mc:Choice Requires="wps">
          <w:drawing>
            <wp:anchor distT="0" distB="0" distL="0" distR="0" simplePos="0" relativeHeight="251658240" behindDoc="0" locked="0" layoutInCell="1" allowOverlap="1" wp14:anchorId="05F0E5A5" wp14:editId="1BEA02F6">
              <wp:simplePos x="0" y="0"/>
              <wp:positionH relativeFrom="page">
                <wp:align>right</wp:align>
              </wp:positionH>
              <wp:positionV relativeFrom="page">
                <wp:align>top</wp:align>
              </wp:positionV>
              <wp:extent cx="1015365" cy="314325"/>
              <wp:effectExtent l="0" t="0" r="0" b="3175"/>
              <wp:wrapNone/>
              <wp:docPr id="1657494313" name="Text Box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5365" cy="314325"/>
                      </a:xfrm>
                      <a:prstGeom prst="rect">
                        <a:avLst/>
                      </a:prstGeom>
                      <a:noFill/>
                      <a:ln>
                        <a:noFill/>
                      </a:ln>
                    </wps:spPr>
                    <wps:txbx>
                      <w:txbxContent>
                        <w:p w14:paraId="7A02AB95" w14:textId="537D65FE" w:rsidR="001E146C" w:rsidRPr="001E146C" w:rsidRDefault="001E146C" w:rsidP="001E146C">
                          <w:pPr>
                            <w:rPr>
                              <w:rFonts w:ascii="Calibri" w:eastAsia="Calibri" w:hAnsi="Calibri" w:cs="Calibri"/>
                              <w:noProof/>
                              <w:color w:val="000000"/>
                              <w:sz w:val="16"/>
                              <w:szCs w:val="16"/>
                            </w:rPr>
                          </w:pPr>
                          <w:r w:rsidRPr="001E146C">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5F0E5A5" id="_x0000_t202" coordsize="21600,21600" o:spt="202" path="m,l,21600r21600,l21600,xe">
              <v:stroke joinstyle="miter"/>
              <v:path gradientshapeok="t" o:connecttype="rect"/>
            </v:shapetype>
            <v:shape id="Text Box 1" o:spid="_x0000_s1028" type="#_x0000_t202" alt="Begränsad delning" style="position:absolute;margin-left:28.75pt;margin-top:0;width:79.95pt;height:24.7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" filled="f" stroked="f">
              <v:fill o:detectmouseclick="t"/>
              <v:textbox style="mso-fit-shape-to-text:t" inset="0,15pt,20pt,0">
                <w:txbxContent>
                  <w:p w14:paraId="7A02AB95" w14:textId="537D65FE" w:rsidR="001E146C" w:rsidRPr="001E146C" w:rsidRDefault="001E146C" w:rsidP="001E146C">
                    <w:pPr>
                      <w:rPr>
                        <w:rFonts w:ascii="Calibri" w:eastAsia="Calibri" w:hAnsi="Calibri" w:cs="Calibri"/>
                        <w:noProof/>
                        <w:color w:val="000000"/>
                        <w:sz w:val="16"/>
                        <w:szCs w:val="16"/>
                      </w:rPr>
                    </w:pPr>
                    <w:r w:rsidRPr="001E146C">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6C"/>
    <w:rsid w:val="001E146C"/>
    <w:rsid w:val="00260ABE"/>
    <w:rsid w:val="00335A72"/>
    <w:rsid w:val="003408EC"/>
    <w:rsid w:val="004A4C6D"/>
    <w:rsid w:val="005B100E"/>
    <w:rsid w:val="005E0917"/>
    <w:rsid w:val="00A8612B"/>
    <w:rsid w:val="00FA2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CAD584"/>
  <w15:chartTrackingRefBased/>
  <w15:docId w15:val="{8A83D2FC-1D6F-EB46-896A-3676A74DF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46C"/>
    <w:rPr>
      <w:kern w:val="0"/>
      <w14:ligatures w14:val="none"/>
    </w:rPr>
  </w:style>
  <w:style w:type="paragraph" w:styleId="Heading1">
    <w:name w:val="heading 1"/>
    <w:basedOn w:val="Normal"/>
    <w:next w:val="Normal"/>
    <w:link w:val="Heading1Char"/>
    <w:uiPriority w:val="9"/>
    <w:qFormat/>
    <w:rsid w:val="001E146C"/>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E146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E146C"/>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E146C"/>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E146C"/>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E146C"/>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E146C"/>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E146C"/>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E146C"/>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1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1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46C"/>
    <w:rPr>
      <w:rFonts w:eastAsiaTheme="majorEastAsia" w:cstheme="majorBidi"/>
      <w:color w:val="272727" w:themeColor="text1" w:themeTint="D8"/>
    </w:rPr>
  </w:style>
  <w:style w:type="paragraph" w:styleId="Title">
    <w:name w:val="Title"/>
    <w:basedOn w:val="Normal"/>
    <w:next w:val="Normal"/>
    <w:link w:val="TitleChar"/>
    <w:uiPriority w:val="10"/>
    <w:qFormat/>
    <w:rsid w:val="001E146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E1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46C"/>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E1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46C"/>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E146C"/>
    <w:rPr>
      <w:i/>
      <w:iCs/>
      <w:color w:val="404040" w:themeColor="text1" w:themeTint="BF"/>
    </w:rPr>
  </w:style>
  <w:style w:type="paragraph" w:styleId="ListParagraph">
    <w:name w:val="List Paragraph"/>
    <w:basedOn w:val="Normal"/>
    <w:uiPriority w:val="34"/>
    <w:qFormat/>
    <w:rsid w:val="001E146C"/>
    <w:pPr>
      <w:ind w:left="720"/>
      <w:contextualSpacing/>
    </w:pPr>
    <w:rPr>
      <w:kern w:val="2"/>
      <w14:ligatures w14:val="standardContextual"/>
    </w:rPr>
  </w:style>
  <w:style w:type="character" w:styleId="IntenseEmphasis">
    <w:name w:val="Intense Emphasis"/>
    <w:basedOn w:val="DefaultParagraphFont"/>
    <w:uiPriority w:val="21"/>
    <w:qFormat/>
    <w:rsid w:val="001E146C"/>
    <w:rPr>
      <w:i/>
      <w:iCs/>
      <w:color w:val="0F4761" w:themeColor="accent1" w:themeShade="BF"/>
    </w:rPr>
  </w:style>
  <w:style w:type="paragraph" w:styleId="IntenseQuote">
    <w:name w:val="Intense Quote"/>
    <w:basedOn w:val="Normal"/>
    <w:next w:val="Normal"/>
    <w:link w:val="IntenseQuoteChar"/>
    <w:uiPriority w:val="30"/>
    <w:qFormat/>
    <w:rsid w:val="001E1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E146C"/>
    <w:rPr>
      <w:i/>
      <w:iCs/>
      <w:color w:val="0F4761" w:themeColor="accent1" w:themeShade="BF"/>
    </w:rPr>
  </w:style>
  <w:style w:type="character" w:styleId="IntenseReference">
    <w:name w:val="Intense Reference"/>
    <w:basedOn w:val="DefaultParagraphFont"/>
    <w:uiPriority w:val="32"/>
    <w:qFormat/>
    <w:rsid w:val="001E146C"/>
    <w:rPr>
      <w:b/>
      <w:bCs/>
      <w:smallCaps/>
      <w:color w:val="0F4761" w:themeColor="accent1" w:themeShade="BF"/>
      <w:spacing w:val="5"/>
    </w:rPr>
  </w:style>
  <w:style w:type="paragraph" w:customStyle="1" w:styleId="Brdtext">
    <w:name w:val="Brödtext"/>
    <w:rsid w:val="001E146C"/>
    <w:pPr>
      <w:pBdr>
        <w:top w:val="nil"/>
        <w:left w:val="nil"/>
        <w:bottom w:val="nil"/>
        <w:right w:val="nil"/>
        <w:between w:val="nil"/>
        <w:bar w:val="nil"/>
      </w:pBdr>
    </w:pPr>
    <w:rPr>
      <w:rFonts w:ascii="Calibri" w:eastAsia="Arial Unicode MS" w:hAnsi="Calibri" w:cs="Arial Unicode MS"/>
      <w:color w:val="000000"/>
      <w:kern w:val="0"/>
      <w:u w:color="000000"/>
      <w:bdr w:val="nil"/>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1E146C"/>
    <w:pPr>
      <w:tabs>
        <w:tab w:val="center" w:pos="4680"/>
        <w:tab w:val="right" w:pos="9360"/>
      </w:tabs>
    </w:pPr>
  </w:style>
  <w:style w:type="character" w:customStyle="1" w:styleId="HeaderChar">
    <w:name w:val="Header Char"/>
    <w:basedOn w:val="DefaultParagraphFont"/>
    <w:link w:val="Header"/>
    <w:uiPriority w:val="99"/>
    <w:rsid w:val="001E146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13b610e-d3b5-490f-b165-988100e8232a}" enabled="1" method="Standard" siteId="{5a4ba6f9-f531-4f32-9467-398f19e69de4}" contentBits="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1348</Words>
  <Characters>7686</Characters>
  <Application>Microsoft Office Word</Application>
  <DocSecurity>0</DocSecurity>
  <Lines>64</Lines>
  <Paragraphs>18</Paragraphs>
  <ScaleCrop>false</ScaleCrop>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Micael Jonsson</dc:creator>
  <cp:keywords/>
  <dc:description/>
  <cp:lastModifiedBy>Micael Jonsson</cp:lastModifiedBy>
  <cp:revision>2</cp:revision>
  <dcterms:created xsi:type="dcterms:W3CDTF">2024-06-24T09:02:00Z</dcterms:created>
  <dcterms:modified xsi:type="dcterms:W3CDTF">2024-06-24T09:06:00Z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62cb5b29,54c1f8bb,7fafcb98</vt:lpwstr>
  </property>
  <property fmtid="{D5CDD505-2E9C-101B-9397-08002B2CF9AE}" pid="3" name="ClassificationContentMarkingHeaderFontProps">
    <vt:lpwstr>#000000,8,Calibri</vt:lpwstr>
  </property>
  <property fmtid="{D5CDD505-2E9C-101B-9397-08002B2CF9AE}" pid="4" name="ClassificationContentMarkingHeaderText">
    <vt:lpwstr>Begränsad delning</vt:lpwstr>
  </property>
</Properties>
</file>